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728F6" w14:textId="64F2E982" w:rsidR="00171C46" w:rsidRDefault="00B82B8B">
      <w:r>
        <w:rPr>
          <w:noProof/>
        </w:rPr>
        <w:drawing>
          <wp:inline distT="0" distB="0" distL="0" distR="0" wp14:anchorId="55F51A49" wp14:editId="470199BC">
            <wp:extent cx="838200" cy="8102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email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5982" cy="827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FD8CF0A" w14:textId="77777777" w:rsidR="00B82B8B" w:rsidRPr="00B82B8B" w:rsidRDefault="00B82B8B" w:rsidP="00B82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82B8B">
        <w:rPr>
          <w:rFonts w:ascii="Tahoma" w:eastAsia="Times New Roman" w:hAnsi="Tahoma" w:cs="Tahoma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eastAsia="en-AU"/>
        </w:rPr>
        <w:t>AIPIO By-Laws</w:t>
      </w:r>
      <w:r w:rsidRPr="00B82B8B">
        <w:rPr>
          <w:rFonts w:ascii="Tahoma" w:eastAsia="Times New Roman" w:hAnsi="Tahoma" w:cs="Tahoma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eastAsia="en-AU"/>
        </w:rPr>
        <w:br/>
      </w:r>
      <w:r w:rsidRPr="00B82B8B">
        <w:rPr>
          <w:rFonts w:ascii="Tahoma" w:eastAsia="Times New Roman" w:hAnsi="Tahoma" w:cs="Tahoma"/>
          <w:color w:val="333333"/>
          <w:sz w:val="19"/>
          <w:szCs w:val="19"/>
          <w:lang w:eastAsia="en-AU"/>
        </w:rPr>
        <w:br/>
      </w:r>
      <w:r w:rsidRPr="00B82B8B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en-AU"/>
        </w:rPr>
        <w:t>The AIPIO Constitution dated 20 November 2013</w:t>
      </w:r>
      <w:r w:rsidRPr="00B82B8B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eastAsia="en-AU"/>
        </w:rPr>
        <w:br/>
      </w:r>
      <w:r w:rsidRPr="00B82B8B">
        <w:rPr>
          <w:rFonts w:ascii="Tahoma" w:eastAsia="Times New Roman" w:hAnsi="Tahoma" w:cs="Tahoma"/>
          <w:color w:val="333333"/>
          <w:sz w:val="19"/>
          <w:szCs w:val="19"/>
          <w:shd w:val="clear" w:color="auto" w:fill="FFFFFF"/>
          <w:lang w:eastAsia="en-AU"/>
        </w:rPr>
        <w:t>The present iteration of the AIPIO Constitution addresses the By-Laws in two areas of principle interest:</w:t>
      </w:r>
      <w:r w:rsidRPr="00B82B8B">
        <w:rPr>
          <w:rFonts w:ascii="Tahoma" w:eastAsia="Times New Roman" w:hAnsi="Tahoma" w:cs="Tahoma"/>
          <w:color w:val="333333"/>
          <w:sz w:val="19"/>
          <w:szCs w:val="19"/>
          <w:lang w:eastAsia="en-AU"/>
        </w:rPr>
        <w:br/>
      </w:r>
      <w:r w:rsidRPr="00B82B8B">
        <w:rPr>
          <w:rFonts w:ascii="Tahoma" w:eastAsia="Times New Roman" w:hAnsi="Tahoma" w:cs="Tahoma"/>
          <w:color w:val="333333"/>
          <w:sz w:val="19"/>
          <w:szCs w:val="19"/>
          <w:lang w:eastAsia="en-AU"/>
        </w:rPr>
        <w:br/>
      </w:r>
      <w:r w:rsidRPr="00B82B8B">
        <w:rPr>
          <w:rFonts w:ascii="Tahoma" w:eastAsia="Times New Roman" w:hAnsi="Tahoma" w:cs="Tahoma"/>
          <w:b/>
          <w:bCs/>
          <w:color w:val="333333"/>
          <w:sz w:val="19"/>
          <w:szCs w:val="19"/>
          <w:bdr w:val="none" w:sz="0" w:space="0" w:color="auto" w:frame="1"/>
          <w:shd w:val="clear" w:color="auto" w:fill="FFFFFF"/>
          <w:lang w:eastAsia="en-AU"/>
        </w:rPr>
        <w:t>Section 6 - Disciplinary Matters</w:t>
      </w:r>
      <w:r w:rsidRPr="00B82B8B">
        <w:rPr>
          <w:rFonts w:ascii="Tahoma" w:eastAsia="Times New Roman" w:hAnsi="Tahoma" w:cs="Tahoma"/>
          <w:b/>
          <w:bCs/>
          <w:color w:val="333333"/>
          <w:sz w:val="19"/>
          <w:szCs w:val="19"/>
          <w:bdr w:val="none" w:sz="0" w:space="0" w:color="auto" w:frame="1"/>
          <w:shd w:val="clear" w:color="auto" w:fill="FFFFFF"/>
          <w:lang w:eastAsia="en-AU"/>
        </w:rPr>
        <w:br/>
        <w:t>Paragraph 6.2 </w:t>
      </w:r>
      <w:r w:rsidRPr="00B82B8B">
        <w:rPr>
          <w:rFonts w:ascii="Tahoma" w:eastAsia="Times New Roman" w:hAnsi="Tahoma" w:cs="Tahoma"/>
          <w:color w:val="333333"/>
          <w:sz w:val="19"/>
          <w:szCs w:val="19"/>
          <w:lang w:eastAsia="en-AU"/>
        </w:rPr>
        <w:br/>
      </w:r>
      <w:r w:rsidRPr="00B82B8B">
        <w:rPr>
          <w:rFonts w:ascii="Tahoma" w:eastAsia="Times New Roman" w:hAnsi="Tahoma" w:cs="Tahoma"/>
          <w:color w:val="333333"/>
          <w:sz w:val="19"/>
          <w:szCs w:val="19"/>
          <w:shd w:val="clear" w:color="auto" w:fill="FFFFFF"/>
          <w:lang w:eastAsia="en-AU"/>
        </w:rPr>
        <w:t>Every person who applies for membership undertakes to be bound by the provisions of this Constitution (including its By-Laws) and any amendments which may be made from time to time. A member who contravenes any provision of this Constitution may, at the discretion of the Board, have their membership revoked.</w:t>
      </w:r>
      <w:r w:rsidRPr="00B82B8B">
        <w:rPr>
          <w:rFonts w:ascii="Tahoma" w:eastAsia="Times New Roman" w:hAnsi="Tahoma" w:cs="Tahoma"/>
          <w:color w:val="333333"/>
          <w:sz w:val="19"/>
          <w:szCs w:val="19"/>
          <w:lang w:eastAsia="en-AU"/>
        </w:rPr>
        <w:br/>
      </w:r>
      <w:r w:rsidRPr="00B82B8B">
        <w:rPr>
          <w:rFonts w:ascii="Tahoma" w:eastAsia="Times New Roman" w:hAnsi="Tahoma" w:cs="Tahoma"/>
          <w:color w:val="333333"/>
          <w:sz w:val="19"/>
          <w:szCs w:val="19"/>
          <w:lang w:eastAsia="en-AU"/>
        </w:rPr>
        <w:br/>
      </w:r>
      <w:r w:rsidRPr="00B82B8B">
        <w:rPr>
          <w:rFonts w:ascii="Tahoma" w:eastAsia="Times New Roman" w:hAnsi="Tahoma" w:cs="Tahoma"/>
          <w:b/>
          <w:bCs/>
          <w:color w:val="333333"/>
          <w:sz w:val="19"/>
          <w:szCs w:val="19"/>
          <w:bdr w:val="none" w:sz="0" w:space="0" w:color="auto" w:frame="1"/>
          <w:shd w:val="clear" w:color="auto" w:fill="FFFFFF"/>
          <w:lang w:eastAsia="en-AU"/>
        </w:rPr>
        <w:t>Section 8 - Management of the Institution</w:t>
      </w:r>
      <w:r w:rsidRPr="00B82B8B">
        <w:rPr>
          <w:rFonts w:ascii="Tahoma" w:eastAsia="Times New Roman" w:hAnsi="Tahoma" w:cs="Tahoma"/>
          <w:color w:val="333333"/>
          <w:sz w:val="19"/>
          <w:szCs w:val="19"/>
          <w:lang w:eastAsia="en-AU"/>
        </w:rPr>
        <w:br/>
      </w:r>
      <w:r w:rsidRPr="00B82B8B">
        <w:rPr>
          <w:rFonts w:ascii="Tahoma" w:eastAsia="Times New Roman" w:hAnsi="Tahoma" w:cs="Tahoma"/>
          <w:b/>
          <w:bCs/>
          <w:color w:val="333333"/>
          <w:sz w:val="19"/>
          <w:szCs w:val="19"/>
          <w:bdr w:val="none" w:sz="0" w:space="0" w:color="auto" w:frame="1"/>
          <w:shd w:val="clear" w:color="auto" w:fill="FFFFFF"/>
          <w:lang w:eastAsia="en-AU"/>
        </w:rPr>
        <w:t>Paragraph 8.3</w:t>
      </w:r>
      <w:r w:rsidRPr="00B82B8B">
        <w:rPr>
          <w:rFonts w:ascii="Tahoma" w:eastAsia="Times New Roman" w:hAnsi="Tahoma" w:cs="Tahoma"/>
          <w:color w:val="333333"/>
          <w:sz w:val="19"/>
          <w:szCs w:val="19"/>
          <w:lang w:eastAsia="en-AU"/>
        </w:rPr>
        <w:br/>
      </w:r>
      <w:r w:rsidRPr="00B82B8B">
        <w:rPr>
          <w:rFonts w:ascii="Tahoma" w:eastAsia="Times New Roman" w:hAnsi="Tahoma" w:cs="Tahoma"/>
          <w:color w:val="333333"/>
          <w:sz w:val="19"/>
          <w:szCs w:val="19"/>
          <w:shd w:val="clear" w:color="auto" w:fill="FFFFFF"/>
          <w:lang w:eastAsia="en-AU"/>
        </w:rPr>
        <w:t>The Board shall promulgate By-laws and Standing Orders as required for the effective administration of the Institute.  All new By-laws and Standing Orders will be put to the next AGM for review and endorsement with twenty-eight (28) days prior written notice.</w:t>
      </w:r>
      <w:r w:rsidRPr="00B82B8B">
        <w:rPr>
          <w:rFonts w:ascii="Tahoma" w:eastAsia="Times New Roman" w:hAnsi="Tahoma" w:cs="Tahoma"/>
          <w:color w:val="333333"/>
          <w:sz w:val="19"/>
          <w:szCs w:val="19"/>
          <w:lang w:eastAsia="en-AU"/>
        </w:rPr>
        <w:br/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075"/>
        <w:gridCol w:w="2925"/>
      </w:tblGrid>
      <w:tr w:rsidR="00B82B8B" w:rsidRPr="00B82B8B" w14:paraId="22392D02" w14:textId="77777777" w:rsidTr="00B82B8B">
        <w:trPr>
          <w:trHeight w:val="48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BAE1E" w14:textId="77777777" w:rsidR="00B82B8B" w:rsidRPr="00B82B8B" w:rsidRDefault="00B82B8B" w:rsidP="00B82B8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inherit" w:eastAsia="Times New Roman" w:hAnsi="inherit" w:cs="Tahoma"/>
                <w:b/>
                <w:bCs/>
                <w:color w:val="333333"/>
                <w:sz w:val="19"/>
                <w:szCs w:val="19"/>
                <w:bdr w:val="none" w:sz="0" w:space="0" w:color="auto" w:frame="1"/>
                <w:lang w:eastAsia="en-AU"/>
              </w:rPr>
              <w:t>By-Law Number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3758F" w14:textId="77777777" w:rsidR="00B82B8B" w:rsidRPr="00B82B8B" w:rsidRDefault="00B82B8B" w:rsidP="00B82B8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inherit" w:eastAsia="Times New Roman" w:hAnsi="inherit" w:cs="Tahoma"/>
                <w:b/>
                <w:bCs/>
                <w:color w:val="333333"/>
                <w:sz w:val="19"/>
                <w:szCs w:val="19"/>
                <w:bdr w:val="none" w:sz="0" w:space="0" w:color="auto" w:frame="1"/>
                <w:lang w:eastAsia="en-AU"/>
              </w:rPr>
              <w:t>Title</w:t>
            </w:r>
          </w:p>
        </w:tc>
        <w:tc>
          <w:tcPr>
            <w:tcW w:w="2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1E5CA" w14:textId="77777777" w:rsidR="00B82B8B" w:rsidRPr="00B82B8B" w:rsidRDefault="00B82B8B" w:rsidP="00B82B8B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inherit" w:eastAsia="Times New Roman" w:hAnsi="inherit" w:cs="Tahoma"/>
                <w:b/>
                <w:bCs/>
                <w:color w:val="333333"/>
                <w:sz w:val="19"/>
                <w:szCs w:val="19"/>
                <w:bdr w:val="none" w:sz="0" w:space="0" w:color="auto" w:frame="1"/>
                <w:lang w:eastAsia="en-AU"/>
              </w:rPr>
              <w:t>Description</w:t>
            </w:r>
          </w:p>
        </w:tc>
      </w:tr>
      <w:tr w:rsidR="00B82B8B" w:rsidRPr="00B82B8B" w14:paraId="70BA54CD" w14:textId="77777777" w:rsidTr="00B82B8B"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0692A" w14:textId="77777777" w:rsidR="00B82B8B" w:rsidRPr="00B82B8B" w:rsidRDefault="00B82B8B" w:rsidP="00B82B8B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hyperlink r:id="rId5" w:tgtFrame="_blank" w:history="1">
              <w:r w:rsidRPr="00B82B8B">
                <w:rPr>
                  <w:rFonts w:ascii="inherit" w:eastAsia="Times New Roman" w:hAnsi="inherit" w:cs="Tahoma"/>
                  <w:color w:val="444444"/>
                  <w:sz w:val="19"/>
                  <w:szCs w:val="19"/>
                  <w:u w:val="single"/>
                  <w:bdr w:val="none" w:sz="0" w:space="0" w:color="auto" w:frame="1"/>
                  <w:lang w:eastAsia="en-AU"/>
                </w:rPr>
                <w:t>1</w:t>
              </w:r>
            </w:hyperlink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F3605" w14:textId="77777777" w:rsidR="00B82B8B" w:rsidRPr="00B82B8B" w:rsidRDefault="00B82B8B" w:rsidP="00B82B8B">
            <w:pPr>
              <w:spacing w:after="15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  <w:t>Nomination for Elevation to the Award of Fellow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8156B" w14:textId="77777777" w:rsidR="00B82B8B" w:rsidRPr="00B82B8B" w:rsidRDefault="00B82B8B" w:rsidP="00B82B8B">
            <w:pPr>
              <w:spacing w:after="15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  <w:t>Template for the nomination process for the award of Fellow</w:t>
            </w:r>
          </w:p>
        </w:tc>
      </w:tr>
      <w:tr w:rsidR="00B82B8B" w:rsidRPr="00B82B8B" w14:paraId="60096B4A" w14:textId="77777777" w:rsidTr="00B82B8B"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43FBF" w14:textId="77777777" w:rsidR="00B82B8B" w:rsidRPr="00B82B8B" w:rsidRDefault="00B82B8B" w:rsidP="00B82B8B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hyperlink r:id="rId6" w:tgtFrame="_blank" w:history="1">
              <w:r w:rsidRPr="00B82B8B">
                <w:rPr>
                  <w:rFonts w:ascii="inherit" w:eastAsia="Times New Roman" w:hAnsi="inherit" w:cs="Tahoma"/>
                  <w:color w:val="444444"/>
                  <w:sz w:val="19"/>
                  <w:szCs w:val="19"/>
                  <w:u w:val="single"/>
                  <w:bdr w:val="none" w:sz="0" w:space="0" w:color="auto" w:frame="1"/>
                  <w:lang w:eastAsia="en-AU"/>
                </w:rPr>
                <w:t>2</w:t>
              </w:r>
            </w:hyperlink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E6538" w14:textId="77777777" w:rsidR="00B82B8B" w:rsidRPr="00B82B8B" w:rsidRDefault="00B82B8B" w:rsidP="00B82B8B">
            <w:pPr>
              <w:spacing w:after="15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  <w:t>Nomination for Elevation to Life Membership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DDF39" w14:textId="77777777" w:rsidR="00B82B8B" w:rsidRPr="00B82B8B" w:rsidRDefault="00B82B8B" w:rsidP="00B82B8B">
            <w:pPr>
              <w:spacing w:after="15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  <w:t>Template for the nomination process for Life Membership</w:t>
            </w:r>
          </w:p>
        </w:tc>
      </w:tr>
      <w:tr w:rsidR="00B82B8B" w:rsidRPr="00B82B8B" w14:paraId="73953C71" w14:textId="77777777" w:rsidTr="00B82B8B"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5F110" w14:textId="77777777" w:rsidR="00B82B8B" w:rsidRPr="00B82B8B" w:rsidRDefault="00B82B8B" w:rsidP="00B82B8B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hyperlink r:id="rId7" w:tgtFrame="_blank" w:history="1">
              <w:r w:rsidRPr="00B82B8B">
                <w:rPr>
                  <w:rFonts w:ascii="inherit" w:eastAsia="Times New Roman" w:hAnsi="inherit" w:cs="Tahoma"/>
                  <w:color w:val="444444"/>
                  <w:sz w:val="19"/>
                  <w:szCs w:val="19"/>
                  <w:u w:val="single"/>
                  <w:bdr w:val="none" w:sz="0" w:space="0" w:color="auto" w:frame="1"/>
                  <w:lang w:eastAsia="en-AU"/>
                </w:rPr>
                <w:t>3</w:t>
              </w:r>
            </w:hyperlink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DE454" w14:textId="77777777" w:rsidR="00B82B8B" w:rsidRPr="00B82B8B" w:rsidRDefault="00B82B8B" w:rsidP="00B82B8B">
            <w:pPr>
              <w:spacing w:after="15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  <w:t>The formation of the State/Territory Representative Sub-Committee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D4B7A" w14:textId="77777777" w:rsidR="00B82B8B" w:rsidRPr="00B82B8B" w:rsidRDefault="00B82B8B" w:rsidP="00B82B8B">
            <w:pPr>
              <w:spacing w:after="15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  <w:t>The formation of and principal duties of the Regional Representatives</w:t>
            </w:r>
          </w:p>
        </w:tc>
      </w:tr>
      <w:tr w:rsidR="00B82B8B" w:rsidRPr="00B82B8B" w14:paraId="7923E55C" w14:textId="77777777" w:rsidTr="00B82B8B"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B2F0" w14:textId="77777777" w:rsidR="00B82B8B" w:rsidRPr="00B82B8B" w:rsidRDefault="00B82B8B" w:rsidP="00B82B8B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hyperlink r:id="rId8" w:tgtFrame="_blank" w:history="1">
              <w:r w:rsidRPr="00B82B8B">
                <w:rPr>
                  <w:rFonts w:ascii="inherit" w:eastAsia="Times New Roman" w:hAnsi="inherit" w:cs="Tahoma"/>
                  <w:color w:val="444444"/>
                  <w:sz w:val="19"/>
                  <w:szCs w:val="19"/>
                  <w:u w:val="single"/>
                  <w:bdr w:val="none" w:sz="0" w:space="0" w:color="auto" w:frame="1"/>
                  <w:lang w:eastAsia="en-AU"/>
                </w:rPr>
                <w:t>4</w:t>
              </w:r>
            </w:hyperlink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96CA5" w14:textId="77777777" w:rsidR="00B82B8B" w:rsidRPr="00B82B8B" w:rsidRDefault="00B82B8B" w:rsidP="00B82B8B">
            <w:pPr>
              <w:spacing w:after="15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  <w:t>The President Advisory Group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9A60B" w14:textId="77777777" w:rsidR="00B82B8B" w:rsidRPr="00B82B8B" w:rsidRDefault="00B82B8B" w:rsidP="00B82B8B">
            <w:pPr>
              <w:spacing w:after="150" w:line="240" w:lineRule="auto"/>
              <w:textAlignment w:val="baseline"/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</w:pPr>
            <w:r w:rsidRPr="00B82B8B">
              <w:rPr>
                <w:rFonts w:ascii="Tahoma" w:eastAsia="Times New Roman" w:hAnsi="Tahoma" w:cs="Tahoma"/>
                <w:color w:val="333333"/>
                <w:sz w:val="19"/>
                <w:szCs w:val="19"/>
                <w:lang w:eastAsia="en-AU"/>
              </w:rPr>
              <w:t>Rules and conditions applicable to the management and conduct of the PAG</w:t>
            </w:r>
          </w:p>
        </w:tc>
      </w:tr>
    </w:tbl>
    <w:p w14:paraId="7D0B4F8B" w14:textId="77777777" w:rsidR="00B82B8B" w:rsidRDefault="00B82B8B"/>
    <w:sectPr w:rsidR="00B82B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B8B"/>
    <w:rsid w:val="00005617"/>
    <w:rsid w:val="002313F2"/>
    <w:rsid w:val="00332D0D"/>
    <w:rsid w:val="00351F29"/>
    <w:rsid w:val="007106FA"/>
    <w:rsid w:val="00714ABB"/>
    <w:rsid w:val="00942740"/>
    <w:rsid w:val="009969AE"/>
    <w:rsid w:val="00B82B8B"/>
    <w:rsid w:val="00ED5F9D"/>
    <w:rsid w:val="00F1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66187"/>
  <w15:chartTrackingRefBased/>
  <w15:docId w15:val="{4DBA5CB2-6964-4B92-8794-938B1EEA1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82B8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82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B82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6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mbers.aipio.asn.au/Portals/8/AIPIO%20Governance/By-Laws/By%20Law%204%20-%20PAG%20v1.0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embers.aipio.asn.au/Portals/8/AIPIO%20Governance/By-Laws/2012%20AIPIO%20By%20Law%203%20Reg%20Reps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mbers.aipio.asn.au/Portals/8/AIPIO%20Governance/By-Laws/2012%20AIPIO%20By%20Law%202%20Appt%20Life%20Mem.pdf" TargetMode="External"/><Relationship Id="rId5" Type="http://schemas.openxmlformats.org/officeDocument/2006/relationships/hyperlink" Target="http://members.aipio.asn.au/Portals/8/AIPIO%20Governance/By-Laws/2012%20AIPIO%20By%20Law%201%20-%20Appt%20Fellow.pdf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 Harrison</dc:creator>
  <cp:keywords/>
  <dc:description/>
  <cp:lastModifiedBy>Katrina Harrison</cp:lastModifiedBy>
  <cp:revision>1</cp:revision>
  <dcterms:created xsi:type="dcterms:W3CDTF">2018-04-15T06:35:00Z</dcterms:created>
  <dcterms:modified xsi:type="dcterms:W3CDTF">2018-04-15T06:37:00Z</dcterms:modified>
</cp:coreProperties>
</file>